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DCB" w:rsidRDefault="002C153C">
      <w:pPr>
        <w:pStyle w:val="Heading1"/>
        <w:spacing w:before="136"/>
        <w:ind w:firstLine="0"/>
      </w:pPr>
      <w:r>
        <w:rPr>
          <w:w w:val="105"/>
        </w:rPr>
        <w:t>RELIABLE DATA SERVICES LIMITED</w:t>
      </w:r>
    </w:p>
    <w:p w:rsidR="00993DCB" w:rsidRDefault="00185849">
      <w:pPr>
        <w:spacing w:line="387" w:lineRule="exact"/>
        <w:ind w:right="261"/>
        <w:jc w:val="center"/>
        <w:rPr>
          <w:sz w:val="32"/>
        </w:rPr>
      </w:pPr>
      <w:r>
        <w:rPr>
          <w:sz w:val="32"/>
        </w:rPr>
        <w:t>CIN:</w:t>
      </w:r>
      <w:r>
        <w:rPr>
          <w:spacing w:val="1"/>
          <w:sz w:val="32"/>
        </w:rPr>
        <w:t xml:space="preserve"> </w:t>
      </w:r>
      <w:r>
        <w:rPr>
          <w:sz w:val="32"/>
        </w:rPr>
        <w:t>-</w:t>
      </w:r>
      <w:r>
        <w:rPr>
          <w:spacing w:val="1"/>
          <w:sz w:val="32"/>
        </w:rPr>
        <w:t xml:space="preserve"> </w:t>
      </w:r>
      <w:r w:rsidR="002C153C" w:rsidRPr="002C153C">
        <w:rPr>
          <w:spacing w:val="-2"/>
          <w:sz w:val="32"/>
        </w:rPr>
        <w:t>L72900DL2001PLC110145</w:t>
      </w:r>
    </w:p>
    <w:p w:rsidR="00993DCB" w:rsidRDefault="00993DCB">
      <w:pPr>
        <w:pStyle w:val="BodyText"/>
        <w:rPr>
          <w:sz w:val="32"/>
        </w:rPr>
      </w:pPr>
    </w:p>
    <w:p w:rsidR="00993DCB" w:rsidRDefault="00993DCB">
      <w:pPr>
        <w:pStyle w:val="BodyText"/>
        <w:rPr>
          <w:sz w:val="32"/>
        </w:rPr>
      </w:pPr>
    </w:p>
    <w:p w:rsidR="00993DCB" w:rsidRDefault="00993DCB">
      <w:pPr>
        <w:pStyle w:val="BodyText"/>
        <w:spacing w:before="261"/>
        <w:rPr>
          <w:sz w:val="32"/>
        </w:rPr>
      </w:pPr>
    </w:p>
    <w:p w:rsidR="00993DCB" w:rsidRDefault="00185849">
      <w:pPr>
        <w:pStyle w:val="Heading1"/>
        <w:ind w:left="2673" w:right="2932"/>
      </w:pPr>
      <w:r>
        <w:rPr>
          <w:color w:val="205767"/>
          <w:w w:val="105"/>
        </w:rPr>
        <w:t xml:space="preserve">POLICY FOR </w:t>
      </w:r>
      <w:r>
        <w:rPr>
          <w:color w:val="205767"/>
          <w:spacing w:val="-2"/>
          <w:w w:val="105"/>
        </w:rPr>
        <w:t xml:space="preserve">ARCHIVAL </w:t>
      </w:r>
      <w:r>
        <w:rPr>
          <w:color w:val="205767"/>
          <w:spacing w:val="-6"/>
          <w:w w:val="105"/>
        </w:rPr>
        <w:t xml:space="preserve">OF </w:t>
      </w:r>
      <w:r>
        <w:rPr>
          <w:color w:val="205767"/>
          <w:spacing w:val="-2"/>
        </w:rPr>
        <w:t>DOCUMENTS</w:t>
      </w:r>
    </w:p>
    <w:p w:rsidR="00993DCB" w:rsidRDefault="00993DCB">
      <w:pPr>
        <w:pStyle w:val="BodyText"/>
        <w:spacing w:before="173"/>
        <w:rPr>
          <w:rFonts w:ascii="Cambria"/>
          <w:sz w:val="72"/>
        </w:rPr>
      </w:pPr>
    </w:p>
    <w:p w:rsidR="00993DCB" w:rsidRDefault="00185849">
      <w:pPr>
        <w:spacing w:before="1" w:line="276" w:lineRule="auto"/>
        <w:ind w:right="261"/>
        <w:jc w:val="center"/>
        <w:rPr>
          <w:rFonts w:ascii="Cambria"/>
        </w:rPr>
      </w:pPr>
      <w:r>
        <w:rPr>
          <w:rFonts w:ascii="Cambria"/>
          <w:color w:val="205767"/>
        </w:rPr>
        <w:t>(**Under</w:t>
      </w:r>
      <w:r>
        <w:rPr>
          <w:rFonts w:ascii="Cambria"/>
          <w:color w:val="205767"/>
          <w:spacing w:val="40"/>
        </w:rPr>
        <w:t xml:space="preserve"> </w:t>
      </w:r>
      <w:r>
        <w:rPr>
          <w:rFonts w:ascii="Cambria"/>
          <w:color w:val="205767"/>
        </w:rPr>
        <w:t>Regulation</w:t>
      </w:r>
      <w:r>
        <w:rPr>
          <w:rFonts w:ascii="Cambria"/>
          <w:color w:val="205767"/>
          <w:spacing w:val="40"/>
        </w:rPr>
        <w:t xml:space="preserve"> </w:t>
      </w:r>
      <w:r>
        <w:rPr>
          <w:rFonts w:ascii="Cambria"/>
          <w:color w:val="205767"/>
        </w:rPr>
        <w:t>9</w:t>
      </w:r>
      <w:r>
        <w:rPr>
          <w:rFonts w:ascii="Cambria"/>
          <w:color w:val="205767"/>
          <w:spacing w:val="40"/>
        </w:rPr>
        <w:t xml:space="preserve"> </w:t>
      </w:r>
      <w:r>
        <w:rPr>
          <w:rFonts w:ascii="Cambria"/>
          <w:color w:val="205767"/>
        </w:rPr>
        <w:t>of</w:t>
      </w:r>
      <w:r>
        <w:rPr>
          <w:rFonts w:ascii="Cambria"/>
          <w:color w:val="205767"/>
          <w:spacing w:val="40"/>
        </w:rPr>
        <w:t xml:space="preserve"> </w:t>
      </w:r>
      <w:r>
        <w:rPr>
          <w:rFonts w:ascii="Cambria"/>
          <w:color w:val="205767"/>
        </w:rPr>
        <w:t>Securities</w:t>
      </w:r>
      <w:r>
        <w:rPr>
          <w:rFonts w:ascii="Cambria"/>
          <w:color w:val="205767"/>
          <w:spacing w:val="40"/>
        </w:rPr>
        <w:t xml:space="preserve"> </w:t>
      </w:r>
      <w:r>
        <w:rPr>
          <w:rFonts w:ascii="Cambria"/>
          <w:color w:val="205767"/>
        </w:rPr>
        <w:t>and</w:t>
      </w:r>
      <w:r>
        <w:rPr>
          <w:rFonts w:ascii="Cambria"/>
          <w:color w:val="205767"/>
          <w:spacing w:val="40"/>
        </w:rPr>
        <w:t xml:space="preserve"> </w:t>
      </w:r>
      <w:r>
        <w:rPr>
          <w:rFonts w:ascii="Cambria"/>
          <w:color w:val="205767"/>
        </w:rPr>
        <w:t>Exchange</w:t>
      </w:r>
      <w:r>
        <w:rPr>
          <w:rFonts w:ascii="Cambria"/>
          <w:color w:val="205767"/>
          <w:spacing w:val="40"/>
        </w:rPr>
        <w:t xml:space="preserve"> </w:t>
      </w:r>
      <w:r>
        <w:rPr>
          <w:rFonts w:ascii="Cambria"/>
          <w:color w:val="205767"/>
        </w:rPr>
        <w:t>Board</w:t>
      </w:r>
      <w:r>
        <w:rPr>
          <w:rFonts w:ascii="Cambria"/>
          <w:color w:val="205767"/>
          <w:spacing w:val="40"/>
        </w:rPr>
        <w:t xml:space="preserve"> </w:t>
      </w:r>
      <w:r>
        <w:rPr>
          <w:rFonts w:ascii="Cambria"/>
          <w:color w:val="205767"/>
        </w:rPr>
        <w:t>of</w:t>
      </w:r>
      <w:r>
        <w:rPr>
          <w:rFonts w:ascii="Cambria"/>
          <w:color w:val="205767"/>
          <w:spacing w:val="40"/>
        </w:rPr>
        <w:t xml:space="preserve"> </w:t>
      </w:r>
      <w:r>
        <w:rPr>
          <w:rFonts w:ascii="Cambria"/>
          <w:color w:val="205767"/>
        </w:rPr>
        <w:t>India</w:t>
      </w:r>
      <w:r>
        <w:rPr>
          <w:rFonts w:ascii="Cambria"/>
          <w:color w:val="205767"/>
          <w:spacing w:val="40"/>
        </w:rPr>
        <w:t xml:space="preserve"> </w:t>
      </w:r>
      <w:r>
        <w:rPr>
          <w:rFonts w:ascii="Cambria"/>
          <w:color w:val="205767"/>
        </w:rPr>
        <w:t>(Listing</w:t>
      </w:r>
      <w:r>
        <w:rPr>
          <w:rFonts w:ascii="Cambria"/>
          <w:color w:val="205767"/>
          <w:spacing w:val="39"/>
        </w:rPr>
        <w:t xml:space="preserve"> </w:t>
      </w:r>
      <w:r>
        <w:rPr>
          <w:rFonts w:ascii="Cambria"/>
          <w:color w:val="205767"/>
        </w:rPr>
        <w:t>Obligation</w:t>
      </w:r>
      <w:r>
        <w:rPr>
          <w:rFonts w:ascii="Cambria"/>
          <w:color w:val="205767"/>
          <w:spacing w:val="40"/>
        </w:rPr>
        <w:t xml:space="preserve"> </w:t>
      </w:r>
      <w:r>
        <w:rPr>
          <w:rFonts w:ascii="Cambria"/>
          <w:color w:val="205767"/>
        </w:rPr>
        <w:t xml:space="preserve">and </w:t>
      </w:r>
      <w:r>
        <w:rPr>
          <w:rFonts w:ascii="Cambria"/>
          <w:color w:val="205767"/>
          <w:w w:val="110"/>
        </w:rPr>
        <w:t>Disclosure Requirements) Regulations, 2015**)</w:t>
      </w:r>
    </w:p>
    <w:p w:rsidR="00993DCB" w:rsidRDefault="00993DCB">
      <w:pPr>
        <w:spacing w:line="276" w:lineRule="auto"/>
        <w:jc w:val="center"/>
        <w:rPr>
          <w:rFonts w:ascii="Cambria"/>
        </w:rPr>
        <w:sectPr w:rsidR="00993DCB">
          <w:footerReference w:type="default" r:id="rId7"/>
          <w:type w:val="continuous"/>
          <w:pgSz w:w="12240" w:h="15840"/>
          <w:pgMar w:top="1820" w:right="1060" w:bottom="1680" w:left="1320" w:header="0" w:footer="1489" w:gutter="0"/>
          <w:pgBorders w:offsetFrom="page">
            <w:top w:val="single" w:sz="24" w:space="24" w:color="000000"/>
            <w:left w:val="single" w:sz="24" w:space="24" w:color="000000"/>
            <w:bottom w:val="single" w:sz="24" w:space="24" w:color="000000"/>
            <w:right w:val="single" w:sz="24" w:space="24" w:color="000000"/>
          </w:pgBorders>
          <w:pgNumType w:start="1"/>
          <w:cols w:space="720"/>
        </w:sectPr>
      </w:pPr>
    </w:p>
    <w:p w:rsidR="00993DCB" w:rsidRDefault="00185849">
      <w:pPr>
        <w:spacing w:before="77"/>
        <w:ind w:left="4" w:right="261"/>
        <w:jc w:val="center"/>
        <w:rPr>
          <w:rFonts w:ascii="Cambria"/>
          <w:sz w:val="44"/>
        </w:rPr>
      </w:pPr>
      <w:r>
        <w:rPr>
          <w:rFonts w:ascii="Cambria"/>
          <w:smallCaps/>
          <w:color w:val="205767"/>
          <w:w w:val="120"/>
          <w:sz w:val="44"/>
          <w:u w:val="thick" w:color="205767"/>
        </w:rPr>
        <w:lastRenderedPageBreak/>
        <w:t>Policy</w:t>
      </w:r>
      <w:r>
        <w:rPr>
          <w:rFonts w:ascii="Cambria"/>
          <w:smallCaps/>
          <w:color w:val="205767"/>
          <w:spacing w:val="79"/>
          <w:w w:val="120"/>
          <w:sz w:val="44"/>
          <w:u w:val="thick" w:color="205767"/>
        </w:rPr>
        <w:t xml:space="preserve"> </w:t>
      </w:r>
      <w:r>
        <w:rPr>
          <w:rFonts w:ascii="Cambria"/>
          <w:smallCaps/>
          <w:color w:val="205767"/>
          <w:w w:val="120"/>
          <w:sz w:val="44"/>
          <w:u w:val="thick" w:color="205767"/>
        </w:rPr>
        <w:t>For</w:t>
      </w:r>
      <w:r>
        <w:rPr>
          <w:rFonts w:ascii="Cambria"/>
          <w:smallCaps/>
          <w:color w:val="205767"/>
          <w:spacing w:val="60"/>
          <w:w w:val="150"/>
          <w:sz w:val="44"/>
          <w:u w:val="thick" w:color="205767"/>
        </w:rPr>
        <w:t xml:space="preserve"> </w:t>
      </w:r>
      <w:r>
        <w:rPr>
          <w:rFonts w:ascii="Cambria"/>
          <w:smallCaps/>
          <w:color w:val="205767"/>
          <w:spacing w:val="-2"/>
          <w:w w:val="120"/>
          <w:sz w:val="44"/>
          <w:u w:val="thick" w:color="205767"/>
        </w:rPr>
        <w:t>Archival</w:t>
      </w:r>
    </w:p>
    <w:p w:rsidR="00993DCB" w:rsidRDefault="00185849">
      <w:pPr>
        <w:ind w:left="4" w:right="261"/>
        <w:jc w:val="center"/>
        <w:rPr>
          <w:rFonts w:ascii="Cambria"/>
          <w:sz w:val="44"/>
        </w:rPr>
      </w:pPr>
      <w:r>
        <w:rPr>
          <w:rFonts w:ascii="Cambria"/>
          <w:smallCaps/>
          <w:color w:val="205767"/>
          <w:w w:val="120"/>
          <w:sz w:val="44"/>
          <w:u w:val="thick" w:color="205767"/>
        </w:rPr>
        <w:t>Of</w:t>
      </w:r>
      <w:r>
        <w:rPr>
          <w:rFonts w:ascii="Cambria"/>
          <w:smallCaps/>
          <w:color w:val="205767"/>
          <w:spacing w:val="68"/>
          <w:w w:val="120"/>
          <w:sz w:val="44"/>
          <w:u w:val="thick" w:color="205767"/>
        </w:rPr>
        <w:t xml:space="preserve"> </w:t>
      </w:r>
      <w:r>
        <w:rPr>
          <w:rFonts w:ascii="Cambria"/>
          <w:smallCaps/>
          <w:color w:val="205767"/>
          <w:spacing w:val="-2"/>
          <w:w w:val="120"/>
          <w:sz w:val="44"/>
          <w:u w:val="thick" w:color="205767"/>
        </w:rPr>
        <w:t>Documents</w:t>
      </w:r>
    </w:p>
    <w:p w:rsidR="00993DCB" w:rsidRDefault="00185849">
      <w:pPr>
        <w:pStyle w:val="Heading2"/>
        <w:numPr>
          <w:ilvl w:val="0"/>
          <w:numId w:val="1"/>
        </w:numPr>
        <w:tabs>
          <w:tab w:val="left" w:pos="464"/>
        </w:tabs>
        <w:spacing w:before="327"/>
        <w:ind w:left="464" w:hanging="345"/>
      </w:pPr>
      <w:r>
        <w:rPr>
          <w:smallCaps/>
          <w:spacing w:val="-2"/>
          <w:w w:val="120"/>
        </w:rPr>
        <w:t>Background</w:t>
      </w:r>
    </w:p>
    <w:p w:rsidR="00993DCB" w:rsidRDefault="00185849">
      <w:pPr>
        <w:pStyle w:val="BodyText"/>
        <w:spacing w:before="52" w:line="230" w:lineRule="auto"/>
        <w:ind w:left="119" w:right="376"/>
        <w:jc w:val="both"/>
      </w:pPr>
      <w:r>
        <w:t>The Securities and Exchange Board of India (“SEBI”), vide its notification dated September 2, 2015, has issued the SEBI (Listing Obligation and Disclosure Requirements) Regulations, 2015. The Regulation came into force from December 1, 2015. The Regulation mandate listed entities to formulate an archival policy. It is in this context that the policy on archival of documents is being framed and implemented.</w:t>
      </w:r>
    </w:p>
    <w:p w:rsidR="00993DCB" w:rsidRDefault="00993DCB">
      <w:pPr>
        <w:pStyle w:val="BodyText"/>
        <w:spacing w:before="53"/>
      </w:pPr>
    </w:p>
    <w:p w:rsidR="00993DCB" w:rsidRDefault="00185849">
      <w:pPr>
        <w:pStyle w:val="Heading2"/>
        <w:numPr>
          <w:ilvl w:val="0"/>
          <w:numId w:val="1"/>
        </w:numPr>
        <w:tabs>
          <w:tab w:val="left" w:pos="464"/>
        </w:tabs>
        <w:spacing w:line="328" w:lineRule="exact"/>
        <w:ind w:left="464" w:hanging="345"/>
      </w:pPr>
      <w:r>
        <w:rPr>
          <w:smallCaps/>
          <w:w w:val="130"/>
        </w:rPr>
        <w:t>Objective</w:t>
      </w:r>
      <w:r>
        <w:rPr>
          <w:smallCaps/>
          <w:spacing w:val="-1"/>
          <w:w w:val="130"/>
        </w:rPr>
        <w:t xml:space="preserve"> </w:t>
      </w:r>
      <w:r>
        <w:rPr>
          <w:smallCaps/>
          <w:w w:val="130"/>
        </w:rPr>
        <w:t>Of</w:t>
      </w:r>
      <w:r>
        <w:rPr>
          <w:smallCaps/>
          <w:spacing w:val="1"/>
          <w:w w:val="130"/>
        </w:rPr>
        <w:t xml:space="preserve"> </w:t>
      </w:r>
      <w:r>
        <w:rPr>
          <w:smallCaps/>
          <w:w w:val="130"/>
        </w:rPr>
        <w:t>The</w:t>
      </w:r>
      <w:r>
        <w:rPr>
          <w:smallCaps/>
          <w:spacing w:val="2"/>
          <w:w w:val="130"/>
        </w:rPr>
        <w:t xml:space="preserve"> </w:t>
      </w:r>
      <w:r>
        <w:rPr>
          <w:smallCaps/>
          <w:spacing w:val="-2"/>
          <w:w w:val="130"/>
        </w:rPr>
        <w:t>Policy</w:t>
      </w:r>
    </w:p>
    <w:p w:rsidR="00993DCB" w:rsidRDefault="00185849" w:rsidP="002C153C">
      <w:pPr>
        <w:pStyle w:val="BodyText"/>
        <w:ind w:left="119" w:right="410"/>
        <w:jc w:val="both"/>
      </w:pPr>
      <w:r>
        <w:t>The</w:t>
      </w:r>
      <w:r>
        <w:rPr>
          <w:spacing w:val="-2"/>
        </w:rPr>
        <w:t xml:space="preserve"> </w:t>
      </w:r>
      <w:r>
        <w:t>objective</w:t>
      </w:r>
      <w:r>
        <w:rPr>
          <w:spacing w:val="-2"/>
        </w:rPr>
        <w:t xml:space="preserve"> </w:t>
      </w:r>
      <w:r>
        <w:t>of</w:t>
      </w:r>
      <w:r>
        <w:rPr>
          <w:spacing w:val="-3"/>
        </w:rPr>
        <w:t xml:space="preserve"> </w:t>
      </w:r>
      <w:r>
        <w:t>this</w:t>
      </w:r>
      <w:r>
        <w:rPr>
          <w:spacing w:val="-4"/>
        </w:rPr>
        <w:t xml:space="preserve"> </w:t>
      </w:r>
      <w:r>
        <w:t>policy</w:t>
      </w:r>
      <w:r>
        <w:rPr>
          <w:spacing w:val="-4"/>
        </w:rPr>
        <w:t xml:space="preserve"> </w:t>
      </w:r>
      <w:r>
        <w:t>is</w:t>
      </w:r>
      <w:r>
        <w:rPr>
          <w:spacing w:val="-1"/>
        </w:rPr>
        <w:t xml:space="preserve"> </w:t>
      </w:r>
      <w:r>
        <w:t>to</w:t>
      </w:r>
      <w:r>
        <w:rPr>
          <w:spacing w:val="-4"/>
        </w:rPr>
        <w:t xml:space="preserve"> </w:t>
      </w:r>
      <w:r>
        <w:t>comply</w:t>
      </w:r>
      <w:r>
        <w:rPr>
          <w:spacing w:val="-4"/>
        </w:rPr>
        <w:t xml:space="preserve"> </w:t>
      </w:r>
      <w:r>
        <w:t>with</w:t>
      </w:r>
      <w:r>
        <w:rPr>
          <w:spacing w:val="-4"/>
        </w:rPr>
        <w:t xml:space="preserve"> </w:t>
      </w:r>
      <w:r>
        <w:t>Regulation</w:t>
      </w:r>
      <w:r>
        <w:rPr>
          <w:spacing w:val="-4"/>
        </w:rPr>
        <w:t xml:space="preserve"> </w:t>
      </w:r>
      <w:r>
        <w:t>30(8)</w:t>
      </w:r>
      <w:r>
        <w:rPr>
          <w:spacing w:val="-3"/>
        </w:rPr>
        <w:t xml:space="preserve"> </w:t>
      </w:r>
      <w:r>
        <w:t>of</w:t>
      </w:r>
      <w:r>
        <w:rPr>
          <w:spacing w:val="-3"/>
        </w:rPr>
        <w:t xml:space="preserve"> </w:t>
      </w:r>
      <w:r>
        <w:t>the</w:t>
      </w:r>
      <w:r>
        <w:rPr>
          <w:spacing w:val="-4"/>
        </w:rPr>
        <w:t xml:space="preserve"> </w:t>
      </w:r>
      <w:r>
        <w:t>SEBI</w:t>
      </w:r>
      <w:r>
        <w:rPr>
          <w:spacing w:val="-3"/>
        </w:rPr>
        <w:t xml:space="preserve"> </w:t>
      </w:r>
      <w:r>
        <w:t>(Listing</w:t>
      </w:r>
      <w:r>
        <w:rPr>
          <w:spacing w:val="-3"/>
        </w:rPr>
        <w:t xml:space="preserve"> </w:t>
      </w:r>
      <w:r>
        <w:t>Obligations</w:t>
      </w:r>
      <w:r>
        <w:rPr>
          <w:spacing w:val="-1"/>
        </w:rPr>
        <w:t xml:space="preserve"> </w:t>
      </w:r>
      <w:r>
        <w:t>and Disclosure Requirements) Regulations, 2015, as mentioned below:</w:t>
      </w:r>
    </w:p>
    <w:p w:rsidR="00993DCB" w:rsidRDefault="00993DCB">
      <w:pPr>
        <w:pStyle w:val="BodyText"/>
        <w:spacing w:before="52"/>
      </w:pPr>
    </w:p>
    <w:p w:rsidR="00993DCB" w:rsidRDefault="00185849">
      <w:pPr>
        <w:spacing w:line="228" w:lineRule="auto"/>
        <w:ind w:left="119" w:right="378"/>
        <w:jc w:val="both"/>
        <w:rPr>
          <w:i/>
          <w:sz w:val="23"/>
        </w:rPr>
      </w:pPr>
      <w:r>
        <w:rPr>
          <w:i/>
          <w:sz w:val="23"/>
        </w:rPr>
        <w:t>“</w:t>
      </w:r>
      <w:proofErr w:type="gramStart"/>
      <w:r>
        <w:rPr>
          <w:i/>
          <w:sz w:val="23"/>
        </w:rPr>
        <w:t>the</w:t>
      </w:r>
      <w:proofErr w:type="gramEnd"/>
      <w:r>
        <w:rPr>
          <w:i/>
          <w:sz w:val="23"/>
        </w:rPr>
        <w:t xml:space="preserve"> listed entities shall disclose on its website all such events and information which has been disclosed to Stock Exchange under this Regulation, and such disclosure shall be hosted on the website of the listed entity for a minimum period of five years and thereafter as per the archival policy of the listed entity as disclosed on this website.</w:t>
      </w:r>
    </w:p>
    <w:p w:rsidR="00993DCB" w:rsidRDefault="00993DCB">
      <w:pPr>
        <w:pStyle w:val="BodyText"/>
        <w:spacing w:before="5"/>
        <w:rPr>
          <w:i/>
        </w:rPr>
      </w:pPr>
    </w:p>
    <w:p w:rsidR="00993DCB" w:rsidRDefault="00185849">
      <w:pPr>
        <w:pStyle w:val="Heading2"/>
        <w:numPr>
          <w:ilvl w:val="0"/>
          <w:numId w:val="1"/>
        </w:numPr>
        <w:tabs>
          <w:tab w:val="left" w:pos="464"/>
        </w:tabs>
        <w:ind w:left="464" w:hanging="345"/>
      </w:pPr>
      <w:r>
        <w:rPr>
          <w:smallCaps/>
          <w:spacing w:val="-2"/>
          <w:w w:val="120"/>
        </w:rPr>
        <w:t>Definitions</w:t>
      </w:r>
    </w:p>
    <w:p w:rsidR="00993DCB" w:rsidRDefault="00185849">
      <w:pPr>
        <w:pStyle w:val="BodyText"/>
        <w:spacing w:before="2"/>
        <w:ind w:left="119"/>
      </w:pPr>
      <w:r>
        <w:t>“Company”</w:t>
      </w:r>
      <w:r>
        <w:rPr>
          <w:spacing w:val="5"/>
        </w:rPr>
        <w:t xml:space="preserve"> </w:t>
      </w:r>
      <w:r>
        <w:t>shall</w:t>
      </w:r>
      <w:r>
        <w:rPr>
          <w:spacing w:val="8"/>
        </w:rPr>
        <w:t xml:space="preserve"> </w:t>
      </w:r>
      <w:r>
        <w:t>mean</w:t>
      </w:r>
      <w:r>
        <w:rPr>
          <w:spacing w:val="8"/>
        </w:rPr>
        <w:t xml:space="preserve"> </w:t>
      </w:r>
      <w:r>
        <w:t>“</w:t>
      </w:r>
      <w:r w:rsidR="002C153C">
        <w:t>Reliable Data Services</w:t>
      </w:r>
      <w:r>
        <w:rPr>
          <w:spacing w:val="5"/>
        </w:rPr>
        <w:t xml:space="preserve"> </w:t>
      </w:r>
      <w:r>
        <w:rPr>
          <w:spacing w:val="-2"/>
        </w:rPr>
        <w:t>Limited”.</w:t>
      </w:r>
    </w:p>
    <w:p w:rsidR="00993DCB" w:rsidRDefault="00185849">
      <w:pPr>
        <w:pStyle w:val="BodyText"/>
        <w:spacing w:before="253" w:line="218" w:lineRule="auto"/>
        <w:ind w:left="120" w:right="407" w:hanging="1"/>
      </w:pPr>
      <w:r>
        <w:t>“Board of</w:t>
      </w:r>
      <w:r>
        <w:rPr>
          <w:spacing w:val="-1"/>
        </w:rPr>
        <w:t xml:space="preserve"> </w:t>
      </w:r>
      <w:r>
        <w:t xml:space="preserve">Directors” or “Board” shall mean the Board of Directors of </w:t>
      </w:r>
      <w:r w:rsidR="002C153C">
        <w:t xml:space="preserve">Reliable Data Services </w:t>
      </w:r>
      <w:r>
        <w:t>Limited, as constituted from time to time.</w:t>
      </w:r>
    </w:p>
    <w:p w:rsidR="00993DCB" w:rsidRDefault="00993DCB">
      <w:pPr>
        <w:pStyle w:val="BodyText"/>
      </w:pPr>
    </w:p>
    <w:p w:rsidR="00993DCB" w:rsidRDefault="00185849">
      <w:pPr>
        <w:pStyle w:val="BodyText"/>
        <w:ind w:left="119"/>
      </w:pPr>
      <w:r>
        <w:t>“Policy”</w:t>
      </w:r>
      <w:r>
        <w:rPr>
          <w:spacing w:val="-2"/>
        </w:rPr>
        <w:t xml:space="preserve"> </w:t>
      </w:r>
      <w:r>
        <w:t>means</w:t>
      </w:r>
      <w:r>
        <w:rPr>
          <w:spacing w:val="-4"/>
        </w:rPr>
        <w:t xml:space="preserve"> </w:t>
      </w:r>
      <w:r>
        <w:t>Policy</w:t>
      </w:r>
      <w:r>
        <w:rPr>
          <w:spacing w:val="-4"/>
        </w:rPr>
        <w:t xml:space="preserve"> </w:t>
      </w:r>
      <w:r>
        <w:t>for</w:t>
      </w:r>
      <w:r>
        <w:rPr>
          <w:spacing w:val="-5"/>
        </w:rPr>
        <w:t xml:space="preserve"> </w:t>
      </w:r>
      <w:r>
        <w:t>Preservation</w:t>
      </w:r>
      <w:r>
        <w:rPr>
          <w:spacing w:val="-4"/>
        </w:rPr>
        <w:t xml:space="preserve"> </w:t>
      </w:r>
      <w:r>
        <w:t>of</w:t>
      </w:r>
      <w:r>
        <w:rPr>
          <w:spacing w:val="-2"/>
        </w:rPr>
        <w:t xml:space="preserve"> documents.</w:t>
      </w:r>
    </w:p>
    <w:p w:rsidR="00993DCB" w:rsidRDefault="00993DCB">
      <w:pPr>
        <w:pStyle w:val="BodyText"/>
        <w:spacing w:before="51"/>
      </w:pPr>
    </w:p>
    <w:p w:rsidR="00993DCB" w:rsidRDefault="00185849">
      <w:pPr>
        <w:pStyle w:val="BodyText"/>
        <w:spacing w:line="218" w:lineRule="auto"/>
        <w:ind w:left="119" w:right="407"/>
      </w:pPr>
      <w:r>
        <w:t>“Listing Regulations” or “SEBI (LODR) Regulations, 2015” shall mean Securities and Exchange Board of India (Listing Obligations and Disclosure Requirements) Regulations, 2015.</w:t>
      </w:r>
    </w:p>
    <w:p w:rsidR="00993DCB" w:rsidRDefault="00993DCB">
      <w:pPr>
        <w:pStyle w:val="BodyText"/>
        <w:spacing w:before="3"/>
      </w:pPr>
    </w:p>
    <w:p w:rsidR="00993DCB" w:rsidRDefault="00185849">
      <w:pPr>
        <w:pStyle w:val="Heading2"/>
        <w:numPr>
          <w:ilvl w:val="0"/>
          <w:numId w:val="1"/>
        </w:numPr>
        <w:tabs>
          <w:tab w:val="left" w:pos="464"/>
        </w:tabs>
        <w:ind w:left="464" w:hanging="345"/>
      </w:pPr>
      <w:r>
        <w:rPr>
          <w:smallCaps/>
          <w:w w:val="120"/>
        </w:rPr>
        <w:t>Archival</w:t>
      </w:r>
      <w:r>
        <w:rPr>
          <w:smallCaps/>
          <w:spacing w:val="38"/>
          <w:w w:val="120"/>
        </w:rPr>
        <w:t xml:space="preserve"> </w:t>
      </w:r>
      <w:r>
        <w:rPr>
          <w:smallCaps/>
          <w:spacing w:val="-2"/>
          <w:w w:val="120"/>
        </w:rPr>
        <w:t>Policy</w:t>
      </w:r>
    </w:p>
    <w:p w:rsidR="00993DCB" w:rsidRDefault="00185849">
      <w:pPr>
        <w:pStyle w:val="BodyText"/>
        <w:spacing w:before="51" w:line="225" w:lineRule="auto"/>
        <w:ind w:left="119" w:right="376"/>
        <w:jc w:val="both"/>
      </w:pPr>
      <w:r>
        <w:t>In accordance with the provision of the aforesaid Regulation, the Company shall ensure that all the information shall be hosted on the Company’s Website (https://</w:t>
      </w:r>
      <w:hyperlink r:id="rId8" w:history="1">
        <w:r w:rsidR="002C153C" w:rsidRPr="0039274F">
          <w:rPr>
            <w:rStyle w:val="Hyperlink"/>
          </w:rPr>
          <w:t>www.reliable.com/)</w:t>
        </w:r>
      </w:hyperlink>
      <w:r>
        <w:t xml:space="preserve"> for a period of 5 years and thereafter shall be archived for a period of one year.</w:t>
      </w:r>
    </w:p>
    <w:p w:rsidR="00993DCB" w:rsidRDefault="00993DCB">
      <w:pPr>
        <w:pStyle w:val="BodyText"/>
      </w:pPr>
    </w:p>
    <w:p w:rsidR="00993DCB" w:rsidRDefault="00185849">
      <w:pPr>
        <w:pStyle w:val="Heading2"/>
        <w:numPr>
          <w:ilvl w:val="0"/>
          <w:numId w:val="1"/>
        </w:numPr>
        <w:tabs>
          <w:tab w:val="left" w:pos="464"/>
        </w:tabs>
        <w:spacing w:line="311" w:lineRule="exact"/>
        <w:ind w:left="464" w:hanging="345"/>
      </w:pPr>
      <w:r>
        <w:rPr>
          <w:smallCaps/>
          <w:w w:val="120"/>
        </w:rPr>
        <w:t>Effective</w:t>
      </w:r>
      <w:r>
        <w:rPr>
          <w:smallCaps/>
          <w:spacing w:val="79"/>
          <w:w w:val="120"/>
        </w:rPr>
        <w:t xml:space="preserve"> </w:t>
      </w:r>
      <w:r>
        <w:rPr>
          <w:smallCaps/>
          <w:spacing w:val="-4"/>
          <w:w w:val="120"/>
        </w:rPr>
        <w:t>Date</w:t>
      </w:r>
    </w:p>
    <w:p w:rsidR="00993DCB" w:rsidRDefault="00993DCB">
      <w:pPr>
        <w:spacing w:line="311" w:lineRule="exact"/>
        <w:sectPr w:rsidR="00993DCB">
          <w:footerReference w:type="default" r:id="rId9"/>
          <w:pgSz w:w="12240" w:h="15840"/>
          <w:pgMar w:top="1360" w:right="1060" w:bottom="1220" w:left="1320" w:header="0" w:footer="1028" w:gutter="0"/>
          <w:pgBorders w:offsetFrom="page">
            <w:top w:val="single" w:sz="24" w:space="24" w:color="000000"/>
            <w:left w:val="single" w:sz="24" w:space="24" w:color="000000"/>
            <w:bottom w:val="single" w:sz="24" w:space="24" w:color="000000"/>
            <w:right w:val="single" w:sz="24" w:space="24" w:color="000000"/>
          </w:pgBorders>
          <w:cols w:space="720"/>
        </w:sectPr>
      </w:pPr>
    </w:p>
    <w:p w:rsidR="00993DCB" w:rsidRPr="00AD5854" w:rsidRDefault="00185849">
      <w:pPr>
        <w:pStyle w:val="BodyText"/>
        <w:spacing w:line="211" w:lineRule="auto"/>
        <w:ind w:left="120" w:hanging="1"/>
        <w:rPr>
          <w:highlight w:val="yellow"/>
        </w:rPr>
      </w:pPr>
      <w:r>
        <w:lastRenderedPageBreak/>
        <w:t>The policy has been approved by the Board of Dir</w:t>
      </w:r>
      <w:r w:rsidR="002C153C">
        <w:t xml:space="preserve">ectors in its meeting held </w:t>
      </w:r>
      <w:r w:rsidR="002C153C" w:rsidRPr="00AD5854">
        <w:rPr>
          <w:highlight w:val="yellow"/>
        </w:rPr>
        <w:t>on 14</w:t>
      </w:r>
      <w:proofErr w:type="spellStart"/>
      <w:r w:rsidRPr="00AD5854">
        <w:rPr>
          <w:position w:val="14"/>
          <w:sz w:val="19"/>
          <w:highlight w:val="yellow"/>
        </w:rPr>
        <w:t>th</w:t>
      </w:r>
      <w:proofErr w:type="spellEnd"/>
      <w:r w:rsidRPr="00AD5854">
        <w:rPr>
          <w:position w:val="14"/>
          <w:sz w:val="19"/>
          <w:highlight w:val="yellow"/>
        </w:rPr>
        <w:t xml:space="preserve"> </w:t>
      </w:r>
      <w:r w:rsidR="002C153C" w:rsidRPr="00AD5854">
        <w:rPr>
          <w:highlight w:val="yellow"/>
        </w:rPr>
        <w:t>2023</w:t>
      </w:r>
      <w:r w:rsidRPr="00AD5854">
        <w:rPr>
          <w:highlight w:val="yellow"/>
        </w:rPr>
        <w:t xml:space="preserve"> and shall become applicable with immediate effect.</w:t>
      </w:r>
    </w:p>
    <w:p w:rsidR="00993DCB" w:rsidRPr="00AD5854" w:rsidRDefault="00185849">
      <w:pPr>
        <w:pStyle w:val="Heading2"/>
        <w:numPr>
          <w:ilvl w:val="0"/>
          <w:numId w:val="1"/>
        </w:numPr>
        <w:tabs>
          <w:tab w:val="left" w:pos="464"/>
        </w:tabs>
        <w:spacing w:before="262"/>
        <w:ind w:left="464" w:hanging="345"/>
        <w:rPr>
          <w:highlight w:val="yellow"/>
        </w:rPr>
      </w:pPr>
      <w:r w:rsidRPr="00AD5854">
        <w:rPr>
          <w:smallCaps/>
          <w:w w:val="115"/>
          <w:highlight w:val="yellow"/>
        </w:rPr>
        <w:t>Amendments</w:t>
      </w:r>
      <w:r w:rsidRPr="00AD5854">
        <w:rPr>
          <w:smallCaps/>
          <w:spacing w:val="26"/>
          <w:w w:val="115"/>
          <w:highlight w:val="yellow"/>
        </w:rPr>
        <w:t xml:space="preserve"> </w:t>
      </w:r>
      <w:r w:rsidRPr="00AD5854">
        <w:rPr>
          <w:smallCaps/>
          <w:w w:val="115"/>
          <w:highlight w:val="yellow"/>
        </w:rPr>
        <w:t>and</w:t>
      </w:r>
      <w:r w:rsidRPr="00AD5854">
        <w:rPr>
          <w:smallCaps/>
          <w:spacing w:val="46"/>
          <w:w w:val="115"/>
          <w:highlight w:val="yellow"/>
        </w:rPr>
        <w:t xml:space="preserve"> </w:t>
      </w:r>
      <w:r w:rsidRPr="00AD5854">
        <w:rPr>
          <w:smallCaps/>
          <w:spacing w:val="-2"/>
          <w:w w:val="115"/>
          <w:highlight w:val="yellow"/>
        </w:rPr>
        <w:t>Review</w:t>
      </w:r>
      <w:bookmarkStart w:id="0" w:name="_GoBack"/>
      <w:bookmarkEnd w:id="0"/>
    </w:p>
    <w:p w:rsidR="00993DCB" w:rsidRDefault="00185849">
      <w:pPr>
        <w:pStyle w:val="BodyText"/>
        <w:spacing w:before="62"/>
        <w:ind w:left="16"/>
      </w:pPr>
      <w:r w:rsidRPr="00AD5854">
        <w:rPr>
          <w:highlight w:val="yellow"/>
        </w:rPr>
        <w:br w:type="column"/>
      </w:r>
      <w:proofErr w:type="gramStart"/>
      <w:r w:rsidRPr="00AD5854">
        <w:rPr>
          <w:highlight w:val="yellow"/>
        </w:rPr>
        <w:lastRenderedPageBreak/>
        <w:t>day</w:t>
      </w:r>
      <w:proofErr w:type="gramEnd"/>
      <w:r w:rsidRPr="00AD5854">
        <w:rPr>
          <w:spacing w:val="-1"/>
          <w:highlight w:val="yellow"/>
        </w:rPr>
        <w:t xml:space="preserve"> </w:t>
      </w:r>
      <w:r w:rsidRPr="00AD5854">
        <w:rPr>
          <w:highlight w:val="yellow"/>
        </w:rPr>
        <w:t>of</w:t>
      </w:r>
      <w:r w:rsidRPr="00AD5854">
        <w:rPr>
          <w:spacing w:val="-1"/>
          <w:highlight w:val="yellow"/>
        </w:rPr>
        <w:t xml:space="preserve"> </w:t>
      </w:r>
      <w:r w:rsidR="002C153C" w:rsidRPr="00AD5854">
        <w:rPr>
          <w:spacing w:val="-2"/>
          <w:highlight w:val="yellow"/>
        </w:rPr>
        <w:t>November</w:t>
      </w:r>
      <w:r>
        <w:rPr>
          <w:spacing w:val="-2"/>
        </w:rPr>
        <w:t>,</w:t>
      </w:r>
    </w:p>
    <w:p w:rsidR="00993DCB" w:rsidRDefault="00993DCB">
      <w:pPr>
        <w:sectPr w:rsidR="00993DCB">
          <w:type w:val="continuous"/>
          <w:pgSz w:w="12240" w:h="15840"/>
          <w:pgMar w:top="1820" w:right="1060" w:bottom="1680" w:left="1320" w:header="0" w:footer="1028" w:gutter="0"/>
          <w:pgBorders w:offsetFrom="page">
            <w:top w:val="single" w:sz="24" w:space="24" w:color="000000"/>
            <w:left w:val="single" w:sz="24" w:space="24" w:color="000000"/>
            <w:bottom w:val="single" w:sz="24" w:space="24" w:color="000000"/>
            <w:right w:val="single" w:sz="24" w:space="24" w:color="000000"/>
          </w:pgBorders>
          <w:cols w:num="2" w:space="720" w:equalWidth="0">
            <w:col w:w="7893" w:space="40"/>
            <w:col w:w="1927"/>
          </w:cols>
        </w:sectPr>
      </w:pPr>
    </w:p>
    <w:p w:rsidR="00993DCB" w:rsidRDefault="00993DCB">
      <w:pPr>
        <w:pStyle w:val="BodyText"/>
        <w:spacing w:before="17"/>
      </w:pPr>
    </w:p>
    <w:p w:rsidR="00993DCB" w:rsidRDefault="00185849">
      <w:pPr>
        <w:pStyle w:val="BodyText"/>
        <w:spacing w:line="218" w:lineRule="auto"/>
        <w:ind w:left="119"/>
      </w:pPr>
      <w:r>
        <w:t>The</w:t>
      </w:r>
      <w:r>
        <w:rPr>
          <w:spacing w:val="40"/>
        </w:rPr>
        <w:t xml:space="preserve"> </w:t>
      </w:r>
      <w:r>
        <w:t>policy</w:t>
      </w:r>
      <w:r>
        <w:rPr>
          <w:spacing w:val="40"/>
        </w:rPr>
        <w:t xml:space="preserve"> </w:t>
      </w:r>
      <w:r>
        <w:t>shall</w:t>
      </w:r>
      <w:r>
        <w:rPr>
          <w:spacing w:val="40"/>
        </w:rPr>
        <w:t xml:space="preserve"> </w:t>
      </w:r>
      <w:r>
        <w:t>be</w:t>
      </w:r>
      <w:r>
        <w:rPr>
          <w:spacing w:val="40"/>
        </w:rPr>
        <w:t xml:space="preserve"> </w:t>
      </w:r>
      <w:r>
        <w:t>amended</w:t>
      </w:r>
      <w:r>
        <w:rPr>
          <w:spacing w:val="40"/>
        </w:rPr>
        <w:t xml:space="preserve"> </w:t>
      </w:r>
      <w:r>
        <w:t>and</w:t>
      </w:r>
      <w:r>
        <w:rPr>
          <w:spacing w:val="40"/>
        </w:rPr>
        <w:t xml:space="preserve"> </w:t>
      </w:r>
      <w:r>
        <w:t>reviewed</w:t>
      </w:r>
      <w:r>
        <w:rPr>
          <w:spacing w:val="40"/>
        </w:rPr>
        <w:t xml:space="preserve"> </w:t>
      </w:r>
      <w:r>
        <w:t>from</w:t>
      </w:r>
      <w:r>
        <w:rPr>
          <w:spacing w:val="40"/>
        </w:rPr>
        <w:t xml:space="preserve"> </w:t>
      </w:r>
      <w:r>
        <w:t>time</w:t>
      </w:r>
      <w:r>
        <w:rPr>
          <w:spacing w:val="40"/>
        </w:rPr>
        <w:t xml:space="preserve"> </w:t>
      </w:r>
      <w:r>
        <w:t>to</w:t>
      </w:r>
      <w:r>
        <w:rPr>
          <w:spacing w:val="40"/>
        </w:rPr>
        <w:t xml:space="preserve"> </w:t>
      </w:r>
      <w:r>
        <w:t>time</w:t>
      </w:r>
      <w:r>
        <w:rPr>
          <w:spacing w:val="40"/>
        </w:rPr>
        <w:t xml:space="preserve"> </w:t>
      </w:r>
      <w:r>
        <w:t>at</w:t>
      </w:r>
      <w:r>
        <w:rPr>
          <w:spacing w:val="40"/>
        </w:rPr>
        <w:t xml:space="preserve"> </w:t>
      </w:r>
      <w:r>
        <w:t>the</w:t>
      </w:r>
      <w:r>
        <w:rPr>
          <w:spacing w:val="40"/>
        </w:rPr>
        <w:t xml:space="preserve"> </w:t>
      </w:r>
      <w:r>
        <w:t>discretion</w:t>
      </w:r>
      <w:r>
        <w:rPr>
          <w:spacing w:val="40"/>
        </w:rPr>
        <w:t xml:space="preserve"> </w:t>
      </w:r>
      <w:r>
        <w:t>of</w:t>
      </w:r>
      <w:r>
        <w:rPr>
          <w:spacing w:val="40"/>
        </w:rPr>
        <w:t xml:space="preserve"> </w:t>
      </w:r>
      <w:r>
        <w:t>the</w:t>
      </w:r>
      <w:r>
        <w:rPr>
          <w:spacing w:val="40"/>
        </w:rPr>
        <w:t xml:space="preserve"> </w:t>
      </w:r>
      <w:r>
        <w:t>Board</w:t>
      </w:r>
      <w:r>
        <w:rPr>
          <w:spacing w:val="40"/>
        </w:rPr>
        <w:t xml:space="preserve"> </w:t>
      </w:r>
      <w:r>
        <w:t xml:space="preserve">of </w:t>
      </w:r>
      <w:r>
        <w:rPr>
          <w:spacing w:val="-2"/>
        </w:rPr>
        <w:t>Directors.</w:t>
      </w:r>
    </w:p>
    <w:sectPr w:rsidR="00993DCB">
      <w:type w:val="continuous"/>
      <w:pgSz w:w="12240" w:h="15840"/>
      <w:pgMar w:top="1820" w:right="1060" w:bottom="1680" w:left="1320" w:header="0" w:footer="1028"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DF3" w:rsidRDefault="00214DF3">
      <w:r>
        <w:separator/>
      </w:r>
    </w:p>
  </w:endnote>
  <w:endnote w:type="continuationSeparator" w:id="0">
    <w:p w:rsidR="00214DF3" w:rsidRDefault="00214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altName w:val="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CB" w:rsidRDefault="00185849">
    <w:pPr>
      <w:pStyle w:val="BodyText"/>
      <w:spacing w:line="14" w:lineRule="auto"/>
      <w:rPr>
        <w:sz w:val="20"/>
      </w:rPr>
    </w:pPr>
    <w:r>
      <w:rPr>
        <w:noProof/>
      </w:rPr>
      <mc:AlternateContent>
        <mc:Choice Requires="wps">
          <w:drawing>
            <wp:anchor distT="0" distB="0" distL="0" distR="0" simplePos="0" relativeHeight="487544832" behindDoc="1" locked="0" layoutInCell="1" allowOverlap="1">
              <wp:simplePos x="0" y="0"/>
              <wp:positionH relativeFrom="page">
                <wp:posOffset>6366760</wp:posOffset>
              </wp:positionH>
              <wp:positionV relativeFrom="page">
                <wp:posOffset>8973391</wp:posOffset>
              </wp:positionV>
              <wp:extent cx="502284" cy="17780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84" cy="177800"/>
                      </a:xfrm>
                      <a:prstGeom prst="rect">
                        <a:avLst/>
                      </a:prstGeom>
                    </wps:spPr>
                    <wps:txbx>
                      <w:txbxContent>
                        <w:p w:rsidR="00993DCB" w:rsidRDefault="00185849">
                          <w:pPr>
                            <w:spacing w:line="253" w:lineRule="exact"/>
                            <w:ind w:left="20"/>
                            <w:rPr>
                              <w:rFonts w:ascii="Times New Roman"/>
                              <w:sz w:val="24"/>
                            </w:rPr>
                          </w:pPr>
                          <w:r>
                            <w:rPr>
                              <w:rFonts w:ascii="Times New Roman"/>
                              <w:sz w:val="24"/>
                            </w:rPr>
                            <w:t>Page</w:t>
                          </w:r>
                          <w:r>
                            <w:rPr>
                              <w:rFonts w:ascii="Times New Roman"/>
                              <w:spacing w:val="-4"/>
                              <w:sz w:val="24"/>
                            </w:rPr>
                            <w:t xml:space="preserve"> </w:t>
                          </w:r>
                          <w:r>
                            <w:rPr>
                              <w:rFonts w:ascii="Times New Roman"/>
                              <w:sz w:val="24"/>
                            </w:rPr>
                            <w:t>|</w:t>
                          </w:r>
                          <w:r>
                            <w:rPr>
                              <w:rFonts w:ascii="Times New Roman"/>
                              <w:spacing w:val="-7"/>
                              <w:sz w:val="24"/>
                            </w:rPr>
                            <w:t xml:space="preserve"> </w:t>
                          </w:r>
                          <w:r>
                            <w:rPr>
                              <w:rFonts w:ascii="Times New Roman"/>
                              <w:spacing w:val="-10"/>
                              <w:sz w:val="24"/>
                            </w:rPr>
                            <w:t>1</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01.3pt;margin-top:706.55pt;width:39.55pt;height:14pt;z-index:-15771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j8vpwEAAD4DAAAOAAAAZHJzL2Uyb0RvYy54bWysUsFuGyEQvVfKPyDuMWsrbayV11GbqFWl&#10;qK2U5ANYFryoC0MZ7F3/fQe8dqL2VvUCAzzmvTczm7vJDeygI1rwDV8uKs60V9BZv2v4y/Pn6zVn&#10;mKTv5ABeN/yokd9tr95txlDrFfQwdDoySuKxHkPD+5RCLQSqXjuJCwja06OB6GSiY9yJLsqRsrtB&#10;rKrqgxghdiGC0oh0+3B65NuS3xit0ndjUCc2NJy0pbLGsrZ5FduNrHdRht6qWYb8BxVOWk+kl1QP&#10;Mkm2j/avVM6qCAgmLRQ4AcZYpYsHcrOs/nDz1MugixcqDoZLmfD/pVXfDj8isx31jjMvHbXoWU+p&#10;hYktc3HGgDVhngKh0vQJpgzMRjE8gvqJBBFvMKcPSOiMmUx0eSebjD5S/Y+XmhMJU3T5vlqt1jec&#10;KXpa3t6uq9IT8fo5RExfNDiWg4ZHamkRIA+PmDK9rM+QWcuJPqtKUzvNJlrojuRhpFY3HH/tZdSc&#10;DV891TLPxTmI56A9BzEN91CmJ1vx8HGfwNjCnClOeWdmalIRNA9UnoK354J6HfvtbwAAAP//AwBQ&#10;SwMEFAAGAAgAAAAhAJSI/0/jAAAADwEAAA8AAABkcnMvZG93bnJldi54bWxMj8FOwzAQRO9I/IO1&#10;SNyo7VDaKsSpUFHFAXFooVKPbmziiHgd2W7q/j3OCW47u6PZN9U62Z6M2ofOoQA+Y0A0Nk512Ar4&#10;+tw+rICEKFHJ3qEWcNUB1vXtTSVL5S640+M+tiSHYCilABPjUFIaGqOtDDM3aMy3b+etjFn6liov&#10;Lznc9rRgbEGt7DB/MHLQG6Obn/3ZCjhshu17Ohr5MT6pt9diubv6Jglxf5denoFEneKfGSb8jA51&#10;Zjq5M6pA+qwZKxbZm6c5f+RAJg9b8SWQ07Sbcw60ruj/HvUvAAAA//8DAFBLAQItABQABgAIAAAA&#10;IQC2gziS/gAAAOEBAAATAAAAAAAAAAAAAAAAAAAAAABbQ29udGVudF9UeXBlc10ueG1sUEsBAi0A&#10;FAAGAAgAAAAhADj9If/WAAAAlAEAAAsAAAAAAAAAAAAAAAAALwEAAF9yZWxzLy5yZWxzUEsBAi0A&#10;FAAGAAgAAAAhAP3ePy+nAQAAPgMAAA4AAAAAAAAAAAAAAAAALgIAAGRycy9lMm9Eb2MueG1sUEsB&#10;Ai0AFAAGAAgAAAAhAJSI/0/jAAAADwEAAA8AAAAAAAAAAAAAAAAAAQQAAGRycy9kb3ducmV2Lnht&#10;bFBLBQYAAAAABAAEAPMAAAARBQAAAAA=&#10;" filled="f" stroked="f">
              <v:path arrowok="t"/>
              <v:textbox inset="0,0,0,0">
                <w:txbxContent>
                  <w:p w:rsidR="00993DCB" w:rsidRDefault="00185849">
                    <w:pPr>
                      <w:spacing w:line="253" w:lineRule="exact"/>
                      <w:ind w:left="20"/>
                      <w:rPr>
                        <w:rFonts w:ascii="Times New Roman"/>
                        <w:sz w:val="24"/>
                      </w:rPr>
                    </w:pPr>
                    <w:r>
                      <w:rPr>
                        <w:rFonts w:ascii="Times New Roman"/>
                        <w:sz w:val="24"/>
                      </w:rPr>
                      <w:t>Page</w:t>
                    </w:r>
                    <w:r>
                      <w:rPr>
                        <w:rFonts w:ascii="Times New Roman"/>
                        <w:spacing w:val="-4"/>
                        <w:sz w:val="24"/>
                      </w:rPr>
                      <w:t xml:space="preserve"> </w:t>
                    </w:r>
                    <w:r>
                      <w:rPr>
                        <w:rFonts w:ascii="Times New Roman"/>
                        <w:sz w:val="24"/>
                      </w:rPr>
                      <w:t>|</w:t>
                    </w:r>
                    <w:r>
                      <w:rPr>
                        <w:rFonts w:ascii="Times New Roman"/>
                        <w:spacing w:val="-7"/>
                        <w:sz w:val="24"/>
                      </w:rPr>
                      <w:t xml:space="preserve"> </w:t>
                    </w:r>
                    <w:r>
                      <w:rPr>
                        <w:rFonts w:ascii="Times New Roman"/>
                        <w:spacing w:val="-10"/>
                        <w:sz w:val="24"/>
                      </w:rPr>
                      <w:t>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DCB" w:rsidRDefault="00185849">
    <w:pPr>
      <w:pStyle w:val="BodyText"/>
      <w:spacing w:line="14" w:lineRule="auto"/>
      <w:rPr>
        <w:sz w:val="20"/>
      </w:rPr>
    </w:pPr>
    <w:r>
      <w:rPr>
        <w:noProof/>
      </w:rPr>
      <mc:AlternateContent>
        <mc:Choice Requires="wps">
          <w:drawing>
            <wp:anchor distT="0" distB="0" distL="0" distR="0" simplePos="0" relativeHeight="487545344" behindDoc="1" locked="0" layoutInCell="1" allowOverlap="1">
              <wp:simplePos x="0" y="0"/>
              <wp:positionH relativeFrom="page">
                <wp:posOffset>6375905</wp:posOffset>
              </wp:positionH>
              <wp:positionV relativeFrom="page">
                <wp:posOffset>9266035</wp:posOffset>
              </wp:positionV>
              <wp:extent cx="482600" cy="17208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172085"/>
                      </a:xfrm>
                      <a:prstGeom prst="rect">
                        <a:avLst/>
                      </a:prstGeom>
                    </wps:spPr>
                    <wps:txbx>
                      <w:txbxContent>
                        <w:p w:rsidR="00993DCB" w:rsidRDefault="00185849">
                          <w:pPr>
                            <w:pStyle w:val="BodyText"/>
                            <w:spacing w:line="244" w:lineRule="exact"/>
                            <w:ind w:left="20"/>
                            <w:rPr>
                              <w:rFonts w:ascii="Times New Roman"/>
                            </w:rPr>
                          </w:pPr>
                          <w:r>
                            <w:rPr>
                              <w:rFonts w:ascii="Times New Roman"/>
                            </w:rPr>
                            <w:t>Page</w:t>
                          </w:r>
                          <w:r>
                            <w:rPr>
                              <w:rFonts w:ascii="Times New Roman"/>
                              <w:spacing w:val="-3"/>
                            </w:rPr>
                            <w:t xml:space="preserve"> </w:t>
                          </w:r>
                          <w:r>
                            <w:rPr>
                              <w:rFonts w:ascii="Times New Roman"/>
                            </w:rPr>
                            <w:t>|</w:t>
                          </w:r>
                          <w:r>
                            <w:rPr>
                              <w:rFonts w:ascii="Times New Roman"/>
                              <w:spacing w:val="-5"/>
                            </w:rPr>
                            <w:t xml:space="preserve"> </w:t>
                          </w:r>
                          <w:r>
                            <w:rPr>
                              <w:rFonts w:ascii="Times New Roman"/>
                              <w:spacing w:val="-10"/>
                            </w:rPr>
                            <w:t>2</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 o:spid="_x0000_s1027" type="#_x0000_t202" style="position:absolute;margin-left:502.05pt;margin-top:729.6pt;width:38pt;height:13.55pt;z-index:-15771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acgqQEAAEUDAAAOAAAAZHJzL2Uyb0RvYy54bWysUsFu2zAMvQ/oPwi6N3aMrguMOMXWYsOA&#10;YhvQ9gNkWYqFWaImKrHz96PkOC2227CLTJlPj++R3N5NdmBHFdCAa/h6VXKmnITOuH3DX54/X284&#10;wyhcJwZwquEnhfxud/VuO/paVdDD0KnAiMRhPfqG9zH6uihQ9soKXIFXjpIaghWRrmFfdEGMxG6H&#10;oirL22KE0PkAUiHS34c5yXeZX2sl43etUUU2NJy0xXyGfLbpLHZbUe+D8L2RZxniH1RYYRwVvVA9&#10;iCjYIZi/qKyRARB0XEmwBWhtpMoeyM26/MPNUy+8yl6oOegvbcL/Ryu/HX8EZrqGV5w5YWlEz2qK&#10;LUysSs0ZPdaEefKEitMnmGjI2Sj6R5A/kSDFG8z8AAmdmjHpYNOXbDJ6SP0/XXpORZiknzeb6rak&#10;jKTU+kNVbt6nssXrYx8wflFgWQoaHmikWYA4PmKcoQvkrGUun1TFqZ2yufXipYXuRFZGmnjD8ddB&#10;BMXZ8NVRS9N6LEFYgnYJQhzuIS9RcuTg4yGCNllAqjTzngXQrLKF816lZXh7z6jX7d/9BgAA//8D&#10;AFBLAwQUAAYACAAAACEAOH6HzuIAAAAPAQAADwAAAGRycy9kb3ducmV2LnhtbEyPwU7DMBBE70j8&#10;g7VI3Kjd0JYQ4lSoqOKAemgBiaMbmyQiXke2m7p/z+YEt53Z0ezbcp1sz0bjQ+dQwnwmgBmsne6w&#10;kfDxvr3LgYWoUKveoZFwMQHW1fVVqQrtzrg34yE2jEowFEpCG+NQcB7q1lgVZm4wSLtv562KJH3D&#10;tVdnKrc9z4RYcas6pAutGsymNfXP4WQlfG6G7Vv6atVuXOrXl+xhf/F1kvL2Jj0/AYsmxb8wTPiE&#10;DhUxHd0JdWA9aSEWc8rStFg+ZsCmjMgFecfJy1f3wKuS//+j+gUAAP//AwBQSwECLQAUAAYACAAA&#10;ACEAtoM4kv4AAADhAQAAEwAAAAAAAAAAAAAAAAAAAAAAW0NvbnRlbnRfVHlwZXNdLnhtbFBLAQIt&#10;ABQABgAIAAAAIQA4/SH/1gAAAJQBAAALAAAAAAAAAAAAAAAAAC8BAABfcmVscy8ucmVsc1BLAQIt&#10;ABQABgAIAAAAIQAIkacgqQEAAEUDAAAOAAAAAAAAAAAAAAAAAC4CAABkcnMvZTJvRG9jLnhtbFBL&#10;AQItABQABgAIAAAAIQA4fofO4gAAAA8BAAAPAAAAAAAAAAAAAAAAAAMEAABkcnMvZG93bnJldi54&#10;bWxQSwUGAAAAAAQABADzAAAAEgUAAAAA&#10;" filled="f" stroked="f">
              <v:path arrowok="t"/>
              <v:textbox inset="0,0,0,0">
                <w:txbxContent>
                  <w:p w:rsidR="00993DCB" w:rsidRDefault="00185849">
                    <w:pPr>
                      <w:pStyle w:val="BodyText"/>
                      <w:spacing w:line="244" w:lineRule="exact"/>
                      <w:ind w:left="20"/>
                      <w:rPr>
                        <w:rFonts w:ascii="Times New Roman"/>
                      </w:rPr>
                    </w:pPr>
                    <w:r>
                      <w:rPr>
                        <w:rFonts w:ascii="Times New Roman"/>
                      </w:rPr>
                      <w:t>Page</w:t>
                    </w:r>
                    <w:r>
                      <w:rPr>
                        <w:rFonts w:ascii="Times New Roman"/>
                        <w:spacing w:val="-3"/>
                      </w:rPr>
                      <w:t xml:space="preserve"> </w:t>
                    </w:r>
                    <w:r>
                      <w:rPr>
                        <w:rFonts w:ascii="Times New Roman"/>
                      </w:rPr>
                      <w:t>|</w:t>
                    </w:r>
                    <w:r>
                      <w:rPr>
                        <w:rFonts w:ascii="Times New Roman"/>
                        <w:spacing w:val="-5"/>
                      </w:rPr>
                      <w:t xml:space="preserve"> </w:t>
                    </w:r>
                    <w:r>
                      <w:rPr>
                        <w:rFonts w:ascii="Times New Roman"/>
                        <w:spacing w:val="-10"/>
                      </w:rPr>
                      <w:t>2</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DF3" w:rsidRDefault="00214DF3">
      <w:r>
        <w:separator/>
      </w:r>
    </w:p>
  </w:footnote>
  <w:footnote w:type="continuationSeparator" w:id="0">
    <w:p w:rsidR="00214DF3" w:rsidRDefault="00214D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4C6834"/>
    <w:multiLevelType w:val="hybridMultilevel"/>
    <w:tmpl w:val="BDB098C4"/>
    <w:lvl w:ilvl="0" w:tplc="2BF84650">
      <w:start w:val="1"/>
      <w:numFmt w:val="decimal"/>
      <w:lvlText w:val="%1."/>
      <w:lvlJc w:val="left"/>
      <w:pPr>
        <w:ind w:left="479" w:hanging="360"/>
      </w:pPr>
      <w:rPr>
        <w:rFonts w:ascii="Cambria" w:eastAsia="Cambria" w:hAnsi="Cambria" w:cs="Cambria" w:hint="default"/>
        <w:b w:val="0"/>
        <w:bCs w:val="0"/>
        <w:i w:val="0"/>
        <w:iCs w:val="0"/>
        <w:spacing w:val="-1"/>
        <w:w w:val="119"/>
        <w:sz w:val="28"/>
        <w:szCs w:val="28"/>
        <w:lang w:val="en-US" w:eastAsia="en-US" w:bidi="ar-SA"/>
      </w:rPr>
    </w:lvl>
    <w:lvl w:ilvl="1" w:tplc="01440DE2">
      <w:numFmt w:val="bullet"/>
      <w:lvlText w:val="•"/>
      <w:lvlJc w:val="left"/>
      <w:pPr>
        <w:ind w:left="1418" w:hanging="360"/>
      </w:pPr>
      <w:rPr>
        <w:rFonts w:hint="default"/>
        <w:lang w:val="en-US" w:eastAsia="en-US" w:bidi="ar-SA"/>
      </w:rPr>
    </w:lvl>
    <w:lvl w:ilvl="2" w:tplc="E8489DE0">
      <w:numFmt w:val="bullet"/>
      <w:lvlText w:val="•"/>
      <w:lvlJc w:val="left"/>
      <w:pPr>
        <w:ind w:left="2356" w:hanging="360"/>
      </w:pPr>
      <w:rPr>
        <w:rFonts w:hint="default"/>
        <w:lang w:val="en-US" w:eastAsia="en-US" w:bidi="ar-SA"/>
      </w:rPr>
    </w:lvl>
    <w:lvl w:ilvl="3" w:tplc="2190FABC">
      <w:numFmt w:val="bullet"/>
      <w:lvlText w:val="•"/>
      <w:lvlJc w:val="left"/>
      <w:pPr>
        <w:ind w:left="3294" w:hanging="360"/>
      </w:pPr>
      <w:rPr>
        <w:rFonts w:hint="default"/>
        <w:lang w:val="en-US" w:eastAsia="en-US" w:bidi="ar-SA"/>
      </w:rPr>
    </w:lvl>
    <w:lvl w:ilvl="4" w:tplc="8902962C">
      <w:numFmt w:val="bullet"/>
      <w:lvlText w:val="•"/>
      <w:lvlJc w:val="left"/>
      <w:pPr>
        <w:ind w:left="4232" w:hanging="360"/>
      </w:pPr>
      <w:rPr>
        <w:rFonts w:hint="default"/>
        <w:lang w:val="en-US" w:eastAsia="en-US" w:bidi="ar-SA"/>
      </w:rPr>
    </w:lvl>
    <w:lvl w:ilvl="5" w:tplc="8B1AE0AC">
      <w:numFmt w:val="bullet"/>
      <w:lvlText w:val="•"/>
      <w:lvlJc w:val="left"/>
      <w:pPr>
        <w:ind w:left="5170" w:hanging="360"/>
      </w:pPr>
      <w:rPr>
        <w:rFonts w:hint="default"/>
        <w:lang w:val="en-US" w:eastAsia="en-US" w:bidi="ar-SA"/>
      </w:rPr>
    </w:lvl>
    <w:lvl w:ilvl="6" w:tplc="E54A0484">
      <w:numFmt w:val="bullet"/>
      <w:lvlText w:val="•"/>
      <w:lvlJc w:val="left"/>
      <w:pPr>
        <w:ind w:left="6108" w:hanging="360"/>
      </w:pPr>
      <w:rPr>
        <w:rFonts w:hint="default"/>
        <w:lang w:val="en-US" w:eastAsia="en-US" w:bidi="ar-SA"/>
      </w:rPr>
    </w:lvl>
    <w:lvl w:ilvl="7" w:tplc="98100362">
      <w:numFmt w:val="bullet"/>
      <w:lvlText w:val="•"/>
      <w:lvlJc w:val="left"/>
      <w:pPr>
        <w:ind w:left="7046" w:hanging="360"/>
      </w:pPr>
      <w:rPr>
        <w:rFonts w:hint="default"/>
        <w:lang w:val="en-US" w:eastAsia="en-US" w:bidi="ar-SA"/>
      </w:rPr>
    </w:lvl>
    <w:lvl w:ilvl="8" w:tplc="29085C0C">
      <w:numFmt w:val="bullet"/>
      <w:lvlText w:val="•"/>
      <w:lvlJc w:val="left"/>
      <w:pPr>
        <w:ind w:left="7984"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993DCB"/>
    <w:rsid w:val="00185849"/>
    <w:rsid w:val="00214DF3"/>
    <w:rsid w:val="002C153C"/>
    <w:rsid w:val="00993DCB"/>
    <w:rsid w:val="00AD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C9DFD5-20AF-4B4C-BB72-331C84BCE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 w:right="261" w:hanging="5"/>
      <w:jc w:val="center"/>
      <w:outlineLvl w:val="0"/>
    </w:pPr>
    <w:rPr>
      <w:rFonts w:ascii="Cambria" w:eastAsia="Cambria" w:hAnsi="Cambria" w:cs="Cambria"/>
      <w:sz w:val="72"/>
      <w:szCs w:val="72"/>
    </w:rPr>
  </w:style>
  <w:style w:type="paragraph" w:styleId="Heading2">
    <w:name w:val="heading 2"/>
    <w:basedOn w:val="Normal"/>
    <w:uiPriority w:val="1"/>
    <w:qFormat/>
    <w:pPr>
      <w:ind w:left="464" w:hanging="345"/>
      <w:outlineLvl w:val="1"/>
    </w:pPr>
    <w:rPr>
      <w:rFonts w:ascii="Cambria" w:eastAsia="Cambria" w:hAnsi="Cambria" w:cs="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64" w:hanging="345"/>
    </w:pPr>
    <w:rPr>
      <w:rFonts w:ascii="Cambria" w:eastAsia="Cambria" w:hAnsi="Cambria" w:cs="Cambria"/>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C15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liable.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341</Words>
  <Characters>1944</Characters>
  <Application>Microsoft Office Word</Application>
  <DocSecurity>0</DocSecurity>
  <Lines>16</Lines>
  <Paragraphs>4</Paragraphs>
  <ScaleCrop>false</ScaleCrop>
  <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Policy for Archival of Documents</dc:title>
  <dc:creator>shakti</dc:creator>
  <cp:lastModifiedBy>Niharika</cp:lastModifiedBy>
  <cp:revision>4</cp:revision>
  <dcterms:created xsi:type="dcterms:W3CDTF">2023-12-08T07:19:00Z</dcterms:created>
  <dcterms:modified xsi:type="dcterms:W3CDTF">2023-12-08T07:29:00Z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Creator">
    <vt:lpwstr>PScript5.dll Version 5.2.2</vt:lpwstr>
  </property>
  <property fmtid="{D5CDD505-2E9C-101B-9397-08002B2CF9AE}" pid="4" name="LastSaved">
    <vt:filetime>2023-12-08T00:00:00Z</vt:filetime>
  </property>
  <property fmtid="{D5CDD505-2E9C-101B-9397-08002B2CF9AE}" pid="5" name="Producer">
    <vt:lpwstr>GPL Ghostscript 8.15</vt:lpwstr>
  </property>
</Properties>
</file>